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6FA" w:rsidRPr="00EF1A32" w:rsidRDefault="0087773B" w:rsidP="00E02F18">
      <w:pPr>
        <w:spacing w:after="120" w:line="360" w:lineRule="auto"/>
        <w:ind w:firstLine="708"/>
        <w:jc w:val="both"/>
        <w:rPr>
          <w:rFonts w:ascii="Arial" w:hAnsi="Arial" w:cs="Arial"/>
          <w:lang w:val="tr-TR"/>
        </w:rPr>
      </w:pPr>
      <w:r w:rsidRPr="00EF1A32">
        <w:rPr>
          <w:rFonts w:ascii="Arial" w:hAnsi="Arial" w:cs="Arial"/>
          <w:lang w:val="tr-TR"/>
        </w:rPr>
        <w:t xml:space="preserve">Makel Elektrik </w:t>
      </w:r>
      <w:r w:rsidR="00495507" w:rsidRPr="00EF1A32">
        <w:rPr>
          <w:rFonts w:ascii="Arial" w:hAnsi="Arial" w:cs="Arial"/>
          <w:lang w:val="tr-TR"/>
        </w:rPr>
        <w:t>Yönetim Sistemini</w:t>
      </w:r>
      <w:r w:rsidR="006F06FA" w:rsidRPr="00EF1A32">
        <w:rPr>
          <w:rFonts w:ascii="Arial" w:hAnsi="Arial" w:cs="Arial"/>
          <w:lang w:val="tr-TR"/>
        </w:rPr>
        <w:t xml:space="preserve">, </w:t>
      </w:r>
      <w:r w:rsidR="00495507" w:rsidRPr="00EF1A32">
        <w:rPr>
          <w:rFonts w:ascii="Arial" w:hAnsi="Arial" w:cs="Arial"/>
          <w:lang w:val="tr-TR"/>
        </w:rPr>
        <w:t>iç/dış unsurlar ile ilgili taraf beklentilerini dikkate alarak, ana faaliyet sahası olan elektrik ölçme, kontrol ve dağıtım sistem ve ekipmanları ile aydınlatma cihazlarının tasarım, üretim</w:t>
      </w:r>
      <w:r w:rsidR="006F06FA" w:rsidRPr="00EF1A32">
        <w:rPr>
          <w:rFonts w:ascii="Arial" w:hAnsi="Arial" w:cs="Arial"/>
          <w:lang w:val="tr-TR"/>
        </w:rPr>
        <w:t>, satış, dış ticaret, gümrükleme, yönetim ve idari organizasyon faaliyetlerini kapsayacak şekilde oluşturur.</w:t>
      </w:r>
      <w:r w:rsidR="0070637F" w:rsidRPr="00EF1A32">
        <w:rPr>
          <w:rFonts w:ascii="Arial" w:hAnsi="Arial" w:cs="Arial"/>
          <w:lang w:val="tr-TR"/>
        </w:rPr>
        <w:t xml:space="preserve"> </w:t>
      </w:r>
      <w:proofErr w:type="spellStart"/>
      <w:r w:rsidR="0070637F" w:rsidRPr="00EF1A32">
        <w:rPr>
          <w:rFonts w:ascii="Arial" w:hAnsi="Arial" w:cs="Arial"/>
          <w:lang w:val="tr-TR"/>
        </w:rPr>
        <w:t>Makel’in</w:t>
      </w:r>
      <w:proofErr w:type="spellEnd"/>
      <w:r w:rsidR="0070637F" w:rsidRPr="00EF1A32">
        <w:rPr>
          <w:rFonts w:ascii="Arial" w:hAnsi="Arial" w:cs="Arial"/>
          <w:lang w:val="tr-TR"/>
        </w:rPr>
        <w:t xml:space="preserve"> Yönetim Sistemi, e</w:t>
      </w:r>
      <w:r w:rsidR="006F06FA" w:rsidRPr="00EF1A32">
        <w:rPr>
          <w:rFonts w:ascii="Arial" w:hAnsi="Arial" w:cs="Arial"/>
          <w:lang w:val="tr-TR"/>
        </w:rPr>
        <w:t xml:space="preserve">v, işyeri vb. yerlerde kullanılan anahtarlar, prizler, </w:t>
      </w:r>
      <w:r w:rsidR="00E71AF3" w:rsidRPr="00EF1A32">
        <w:rPr>
          <w:rFonts w:ascii="Arial" w:hAnsi="Arial" w:cs="Arial"/>
          <w:lang w:val="tr-TR"/>
        </w:rPr>
        <w:t xml:space="preserve">fişler, </w:t>
      </w:r>
      <w:r w:rsidR="006F06FA" w:rsidRPr="00EF1A32">
        <w:rPr>
          <w:rFonts w:ascii="Arial" w:hAnsi="Arial" w:cs="Arial"/>
          <w:lang w:val="tr-TR"/>
        </w:rPr>
        <w:t xml:space="preserve">grup prizler, kasalar, </w:t>
      </w:r>
      <w:r w:rsidR="00E71AF3" w:rsidRPr="00EF1A32">
        <w:rPr>
          <w:rFonts w:ascii="Arial" w:hAnsi="Arial" w:cs="Arial"/>
          <w:lang w:val="tr-TR"/>
        </w:rPr>
        <w:t xml:space="preserve">devre kesiciler, </w:t>
      </w:r>
      <w:r w:rsidR="006F06FA" w:rsidRPr="00EF1A32">
        <w:rPr>
          <w:rFonts w:ascii="Arial" w:hAnsi="Arial" w:cs="Arial"/>
          <w:lang w:val="tr-TR"/>
        </w:rPr>
        <w:t xml:space="preserve">elektrik elektronik sayaçları, </w:t>
      </w:r>
      <w:proofErr w:type="spellStart"/>
      <w:r w:rsidR="006F06FA" w:rsidRPr="00EF1A32">
        <w:rPr>
          <w:rFonts w:ascii="Arial" w:hAnsi="Arial" w:cs="Arial"/>
          <w:lang w:val="tr-TR"/>
        </w:rPr>
        <w:t>led</w:t>
      </w:r>
      <w:proofErr w:type="spellEnd"/>
      <w:r w:rsidR="006F06FA" w:rsidRPr="00EF1A32">
        <w:rPr>
          <w:rFonts w:ascii="Arial" w:hAnsi="Arial" w:cs="Arial"/>
          <w:lang w:val="tr-TR"/>
        </w:rPr>
        <w:t xml:space="preserve"> lambalar, </w:t>
      </w:r>
      <w:proofErr w:type="spellStart"/>
      <w:r w:rsidR="006F06FA" w:rsidRPr="00EF1A32">
        <w:rPr>
          <w:rFonts w:ascii="Arial" w:hAnsi="Arial" w:cs="Arial"/>
          <w:lang w:val="tr-TR"/>
        </w:rPr>
        <w:t>slim</w:t>
      </w:r>
      <w:proofErr w:type="spellEnd"/>
      <w:r w:rsidR="006F06FA" w:rsidRPr="00EF1A32">
        <w:rPr>
          <w:rFonts w:ascii="Arial" w:hAnsi="Arial" w:cs="Arial"/>
          <w:lang w:val="tr-TR"/>
        </w:rPr>
        <w:t xml:space="preserve"> </w:t>
      </w:r>
      <w:proofErr w:type="spellStart"/>
      <w:r w:rsidR="006F06FA" w:rsidRPr="00EF1A32">
        <w:rPr>
          <w:rFonts w:ascii="Arial" w:hAnsi="Arial" w:cs="Arial"/>
          <w:lang w:val="tr-TR"/>
        </w:rPr>
        <w:t>led</w:t>
      </w:r>
      <w:proofErr w:type="spellEnd"/>
      <w:r w:rsidR="006F06FA" w:rsidRPr="00EF1A32">
        <w:rPr>
          <w:rFonts w:ascii="Arial" w:hAnsi="Arial" w:cs="Arial"/>
          <w:lang w:val="tr-TR"/>
        </w:rPr>
        <w:t xml:space="preserve"> paneller, </w:t>
      </w:r>
      <w:proofErr w:type="spellStart"/>
      <w:r w:rsidR="006F06FA" w:rsidRPr="00EF1A32">
        <w:rPr>
          <w:rFonts w:ascii="Arial" w:hAnsi="Arial" w:cs="Arial"/>
          <w:lang w:val="tr-TR"/>
        </w:rPr>
        <w:t>slim</w:t>
      </w:r>
      <w:proofErr w:type="spellEnd"/>
      <w:r w:rsidR="006F06FA" w:rsidRPr="00EF1A32">
        <w:rPr>
          <w:rFonts w:ascii="Arial" w:hAnsi="Arial" w:cs="Arial"/>
          <w:lang w:val="tr-TR"/>
        </w:rPr>
        <w:t xml:space="preserve"> </w:t>
      </w:r>
      <w:proofErr w:type="spellStart"/>
      <w:r w:rsidR="006F06FA" w:rsidRPr="00EF1A32">
        <w:rPr>
          <w:rFonts w:ascii="Arial" w:hAnsi="Arial" w:cs="Arial"/>
          <w:lang w:val="tr-TR"/>
        </w:rPr>
        <w:t>led</w:t>
      </w:r>
      <w:proofErr w:type="spellEnd"/>
      <w:r w:rsidR="006F06FA" w:rsidRPr="00EF1A32">
        <w:rPr>
          <w:rFonts w:ascii="Arial" w:hAnsi="Arial" w:cs="Arial"/>
          <w:lang w:val="tr-TR"/>
        </w:rPr>
        <w:t xml:space="preserve"> </w:t>
      </w:r>
      <w:proofErr w:type="spellStart"/>
      <w:r w:rsidR="006F06FA" w:rsidRPr="00EF1A32">
        <w:rPr>
          <w:rFonts w:ascii="Arial" w:hAnsi="Arial" w:cs="Arial"/>
          <w:lang w:val="tr-TR"/>
        </w:rPr>
        <w:t>downlightlar</w:t>
      </w:r>
      <w:proofErr w:type="spellEnd"/>
      <w:r w:rsidR="006F06FA" w:rsidRPr="00EF1A32">
        <w:rPr>
          <w:rFonts w:ascii="Arial" w:hAnsi="Arial" w:cs="Arial"/>
          <w:lang w:val="tr-TR"/>
        </w:rPr>
        <w:t xml:space="preserve">, hareket algılamalı armatürler, </w:t>
      </w:r>
      <w:proofErr w:type="spellStart"/>
      <w:r w:rsidR="00E71AF3" w:rsidRPr="00EF1A32">
        <w:rPr>
          <w:rFonts w:ascii="Arial" w:hAnsi="Arial" w:cs="Arial"/>
          <w:lang w:val="tr-TR"/>
        </w:rPr>
        <w:t>led</w:t>
      </w:r>
      <w:proofErr w:type="spellEnd"/>
      <w:r w:rsidR="00E71AF3" w:rsidRPr="00EF1A32">
        <w:rPr>
          <w:rFonts w:ascii="Arial" w:hAnsi="Arial" w:cs="Arial"/>
          <w:lang w:val="tr-TR"/>
        </w:rPr>
        <w:t xml:space="preserve"> projektörler, bina otomasyon sistemleri, </w:t>
      </w:r>
      <w:r w:rsidR="006F06FA" w:rsidRPr="00EF1A32">
        <w:rPr>
          <w:rFonts w:ascii="Arial" w:hAnsi="Arial" w:cs="Arial"/>
          <w:lang w:val="tr-TR"/>
        </w:rPr>
        <w:t xml:space="preserve">reaktif güç röleleri, </w:t>
      </w:r>
      <w:proofErr w:type="spellStart"/>
      <w:r w:rsidR="006F06FA" w:rsidRPr="00EF1A32">
        <w:rPr>
          <w:rFonts w:ascii="Arial" w:hAnsi="Arial" w:cs="Arial"/>
          <w:lang w:val="tr-TR"/>
        </w:rPr>
        <w:t>kompanzasyon</w:t>
      </w:r>
      <w:proofErr w:type="spellEnd"/>
      <w:r w:rsidR="006F06FA" w:rsidRPr="00EF1A32">
        <w:rPr>
          <w:rFonts w:ascii="Arial" w:hAnsi="Arial" w:cs="Arial"/>
          <w:lang w:val="tr-TR"/>
        </w:rPr>
        <w:t xml:space="preserve"> panosu ürünleri, motor koruma ürünleri, zaman röleleri</w:t>
      </w:r>
      <w:r w:rsidR="00E02F18" w:rsidRPr="00EF1A32">
        <w:rPr>
          <w:rFonts w:ascii="Arial" w:hAnsi="Arial" w:cs="Arial"/>
          <w:lang w:val="tr-TR"/>
        </w:rPr>
        <w:t xml:space="preserve"> </w:t>
      </w:r>
      <w:r w:rsidR="0070637F" w:rsidRPr="00EF1A32">
        <w:rPr>
          <w:rFonts w:ascii="Arial" w:hAnsi="Arial" w:cs="Arial"/>
          <w:lang w:val="tr-TR"/>
        </w:rPr>
        <w:t xml:space="preserve">ve </w:t>
      </w:r>
      <w:r w:rsidR="006F06FA" w:rsidRPr="00EF1A32">
        <w:rPr>
          <w:rFonts w:ascii="Arial" w:hAnsi="Arial" w:cs="Arial"/>
          <w:lang w:val="tr-TR"/>
        </w:rPr>
        <w:t>modemler</w:t>
      </w:r>
      <w:r w:rsidR="00A95CF0" w:rsidRPr="00EF1A32">
        <w:rPr>
          <w:rFonts w:ascii="Arial" w:hAnsi="Arial" w:cs="Arial"/>
          <w:lang w:val="tr-TR"/>
        </w:rPr>
        <w:t>i kapsamaktadır.</w:t>
      </w:r>
    </w:p>
    <w:p w:rsidR="000D7572" w:rsidRPr="00EA6833" w:rsidRDefault="000D7572" w:rsidP="000D7572">
      <w:pPr>
        <w:spacing w:after="12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Yönetim sistemimiz, Kalite</w:t>
      </w:r>
      <w:r w:rsidR="00966374">
        <w:rPr>
          <w:rFonts w:ascii="Arial" w:hAnsi="Arial" w:cs="Arial"/>
          <w:lang w:val="tr-TR"/>
        </w:rPr>
        <w:t>,</w:t>
      </w:r>
      <w:r>
        <w:rPr>
          <w:rFonts w:ascii="Arial" w:hAnsi="Arial" w:cs="Arial"/>
          <w:lang w:val="tr-TR"/>
        </w:rPr>
        <w:t xml:space="preserve"> Çevre</w:t>
      </w:r>
      <w:r w:rsidR="00966374">
        <w:rPr>
          <w:rFonts w:ascii="Arial" w:hAnsi="Arial" w:cs="Arial"/>
          <w:lang w:val="tr-TR"/>
        </w:rPr>
        <w:t xml:space="preserve"> ve </w:t>
      </w:r>
      <w:r w:rsidR="00966374" w:rsidRPr="00966374">
        <w:rPr>
          <w:rFonts w:ascii="Arial" w:hAnsi="Arial" w:cs="Arial"/>
          <w:i/>
          <w:iCs/>
          <w:color w:val="0000FF"/>
          <w:lang w:val="tr-TR"/>
        </w:rPr>
        <w:t>İ</w:t>
      </w:r>
      <w:r w:rsidR="00966374">
        <w:rPr>
          <w:rFonts w:ascii="Arial" w:hAnsi="Arial" w:cs="Arial"/>
          <w:i/>
          <w:iCs/>
          <w:color w:val="0000FF"/>
          <w:lang w:val="tr-TR"/>
        </w:rPr>
        <w:t xml:space="preserve">ş </w:t>
      </w:r>
      <w:r w:rsidR="00966374" w:rsidRPr="00966374">
        <w:rPr>
          <w:rFonts w:ascii="Arial" w:hAnsi="Arial" w:cs="Arial"/>
          <w:i/>
          <w:iCs/>
          <w:color w:val="0000FF"/>
          <w:lang w:val="tr-TR"/>
        </w:rPr>
        <w:t>S</w:t>
      </w:r>
      <w:r w:rsidR="00966374">
        <w:rPr>
          <w:rFonts w:ascii="Arial" w:hAnsi="Arial" w:cs="Arial"/>
          <w:i/>
          <w:iCs/>
          <w:color w:val="0000FF"/>
          <w:lang w:val="tr-TR"/>
        </w:rPr>
        <w:t xml:space="preserve">ağlığı ve </w:t>
      </w:r>
      <w:r w:rsidR="00966374" w:rsidRPr="00966374">
        <w:rPr>
          <w:rFonts w:ascii="Arial" w:hAnsi="Arial" w:cs="Arial"/>
          <w:i/>
          <w:iCs/>
          <w:color w:val="0000FF"/>
          <w:lang w:val="tr-TR"/>
        </w:rPr>
        <w:t>G</w:t>
      </w:r>
      <w:r w:rsidR="00966374">
        <w:rPr>
          <w:rFonts w:ascii="Arial" w:hAnsi="Arial" w:cs="Arial"/>
          <w:i/>
          <w:iCs/>
          <w:color w:val="0000FF"/>
          <w:lang w:val="tr-TR"/>
        </w:rPr>
        <w:t>üvenliği</w:t>
      </w:r>
      <w:r w:rsidRPr="00287357">
        <w:rPr>
          <w:rFonts w:ascii="Arial" w:hAnsi="Arial" w:cs="Arial"/>
          <w:i/>
          <w:iCs/>
          <w:color w:val="0000FF"/>
          <w:lang w:val="tr-TR"/>
        </w:rPr>
        <w:t xml:space="preserve"> </w:t>
      </w:r>
      <w:r w:rsidR="00287357" w:rsidRPr="00287357">
        <w:rPr>
          <w:rFonts w:ascii="Arial" w:hAnsi="Arial" w:cs="Arial"/>
          <w:i/>
          <w:iCs/>
          <w:color w:val="0000FF"/>
          <w:lang w:val="tr-TR"/>
        </w:rPr>
        <w:t>(İSG)</w:t>
      </w:r>
      <w:r w:rsidR="00287357">
        <w:rPr>
          <w:rFonts w:ascii="Arial" w:hAnsi="Arial" w:cs="Arial"/>
          <w:i/>
          <w:iCs/>
          <w:color w:val="0000FF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Yönetim sistemlerimizin bütünleşmesi ile </w:t>
      </w:r>
      <w:r w:rsidR="009173B9">
        <w:rPr>
          <w:rFonts w:ascii="Arial" w:hAnsi="Arial" w:cs="Arial"/>
          <w:lang w:val="tr-TR"/>
        </w:rPr>
        <w:t>oluşmaktadır;</w:t>
      </w:r>
    </w:p>
    <w:p w:rsidR="002419DD" w:rsidRPr="00E97A60" w:rsidRDefault="000A18C8" w:rsidP="007F0313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lang w:val="tr-TR"/>
        </w:rPr>
      </w:pPr>
      <w:r w:rsidRPr="00E97A60">
        <w:rPr>
          <w:rFonts w:ascii="Arial" w:hAnsi="Arial" w:cs="Arial"/>
          <w:lang w:val="tr-TR"/>
        </w:rPr>
        <w:t>Kalite Yönetim Sistemimiz, ISO 9001:2015 standardı referans alınarak müşteri ve uygulanabilir birincil ve ikincil mevzuat hükümlerini</w:t>
      </w:r>
      <w:r w:rsidR="00DA3018" w:rsidRPr="00E97A60">
        <w:rPr>
          <w:rFonts w:ascii="Arial" w:hAnsi="Arial" w:cs="Arial"/>
          <w:lang w:val="tr-TR"/>
        </w:rPr>
        <w:t xml:space="preserve"> </w:t>
      </w:r>
      <w:r w:rsidRPr="00E97A60">
        <w:rPr>
          <w:rFonts w:ascii="Arial" w:hAnsi="Arial" w:cs="Arial"/>
          <w:lang w:val="tr-TR"/>
        </w:rPr>
        <w:t>karşılayan ürünleri ve hizmetleri düzenli olarak sağlama hedefi ile oluşturulmuştur.</w:t>
      </w:r>
      <w:r w:rsidR="009E47BD" w:rsidRPr="00E97A60">
        <w:rPr>
          <w:rFonts w:ascii="Arial" w:hAnsi="Arial" w:cs="Arial"/>
          <w:lang w:val="tr-TR"/>
        </w:rPr>
        <w:t xml:space="preserve"> Ayrıca f</w:t>
      </w:r>
      <w:r w:rsidR="009173B9" w:rsidRPr="00E97A60">
        <w:rPr>
          <w:rFonts w:ascii="Arial" w:hAnsi="Arial" w:cs="Arial"/>
          <w:lang w:val="tr-TR"/>
        </w:rPr>
        <w:t>aaliyet kapsamımıza bağlı olarak, düzenleyici dış unsur olan ulusal/uluslararası yetkili kurum ve kuruluşların direktif</w:t>
      </w:r>
      <w:r w:rsidR="007F49A3" w:rsidRPr="00E97A60">
        <w:rPr>
          <w:rFonts w:ascii="Arial" w:hAnsi="Arial" w:cs="Arial"/>
          <w:lang w:val="tr-TR"/>
        </w:rPr>
        <w:t>/karar</w:t>
      </w:r>
      <w:r w:rsidR="002419DD" w:rsidRPr="00E97A60">
        <w:rPr>
          <w:rFonts w:ascii="Arial" w:hAnsi="Arial" w:cs="Arial"/>
          <w:lang w:val="tr-TR"/>
        </w:rPr>
        <w:t xml:space="preserve">, </w:t>
      </w:r>
      <w:r w:rsidR="007F49A3" w:rsidRPr="00E97A60">
        <w:rPr>
          <w:rFonts w:ascii="Arial" w:hAnsi="Arial" w:cs="Arial"/>
          <w:lang w:val="tr-TR"/>
        </w:rPr>
        <w:t xml:space="preserve">ürün güvenlik ve performans </w:t>
      </w:r>
      <w:r w:rsidR="009173B9" w:rsidRPr="00E97A60">
        <w:rPr>
          <w:rFonts w:ascii="Arial" w:hAnsi="Arial" w:cs="Arial"/>
          <w:lang w:val="tr-TR"/>
        </w:rPr>
        <w:t>standart</w:t>
      </w:r>
      <w:r w:rsidR="007F49A3" w:rsidRPr="00E97A60">
        <w:rPr>
          <w:rFonts w:ascii="Arial" w:hAnsi="Arial" w:cs="Arial"/>
          <w:lang w:val="tr-TR"/>
        </w:rPr>
        <w:t>ları</w:t>
      </w:r>
      <w:r w:rsidR="00054B2B" w:rsidRPr="00E97A60">
        <w:rPr>
          <w:rFonts w:ascii="Arial" w:hAnsi="Arial" w:cs="Arial"/>
          <w:lang w:val="tr-TR"/>
        </w:rPr>
        <w:t xml:space="preserve"> </w:t>
      </w:r>
      <w:r w:rsidR="007F49A3" w:rsidRPr="00E97A60">
        <w:rPr>
          <w:rFonts w:ascii="Arial" w:hAnsi="Arial" w:cs="Arial"/>
          <w:lang w:val="tr-TR"/>
        </w:rPr>
        <w:t>ile</w:t>
      </w:r>
      <w:r w:rsidR="009173B9" w:rsidRPr="00E97A60">
        <w:rPr>
          <w:rFonts w:ascii="Arial" w:hAnsi="Arial" w:cs="Arial"/>
          <w:lang w:val="tr-TR"/>
        </w:rPr>
        <w:t xml:space="preserve"> yönetmelik şartları esas alınarak Kalite Yönetim Sistemimiz tanımlanmıştır.</w:t>
      </w:r>
      <w:r w:rsidR="002419DD" w:rsidRPr="00E97A60">
        <w:rPr>
          <w:rFonts w:ascii="Arial" w:hAnsi="Arial" w:cs="Arial"/>
          <w:lang w:val="tr-TR"/>
        </w:rPr>
        <w:t xml:space="preserve"> Bu kapsamdaki başlıca düzenlemeler;</w:t>
      </w:r>
    </w:p>
    <w:p w:rsid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7F49A3">
        <w:rPr>
          <w:rFonts w:ascii="Arial" w:hAnsi="Arial" w:cs="Arial"/>
          <w:lang w:val="tr-TR"/>
        </w:rPr>
        <w:t xml:space="preserve">2014/32/EU MID Direktifi, </w:t>
      </w:r>
    </w:p>
    <w:p w:rsid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7F49A3">
        <w:rPr>
          <w:rFonts w:ascii="Arial" w:hAnsi="Arial" w:cs="Arial"/>
          <w:lang w:val="tr-TR"/>
        </w:rPr>
        <w:t>2014/35/EU  LVD Direktifi</w:t>
      </w:r>
      <w:r>
        <w:rPr>
          <w:rFonts w:ascii="Arial" w:hAnsi="Arial" w:cs="Arial"/>
          <w:lang w:val="tr-TR"/>
        </w:rPr>
        <w:t xml:space="preserve"> ve ilgili </w:t>
      </w:r>
      <w:r w:rsidR="00B0616D">
        <w:rPr>
          <w:rFonts w:ascii="Arial" w:hAnsi="Arial" w:cs="Arial"/>
          <w:lang w:val="tr-TR"/>
        </w:rPr>
        <w:t xml:space="preserve">yerel </w:t>
      </w:r>
      <w:r>
        <w:rPr>
          <w:rFonts w:ascii="Arial" w:hAnsi="Arial" w:cs="Arial"/>
          <w:lang w:val="tr-TR"/>
        </w:rPr>
        <w:t>mevzuatlar</w:t>
      </w:r>
    </w:p>
    <w:p w:rsid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2011/65/EU </w:t>
      </w:r>
      <w:proofErr w:type="spellStart"/>
      <w:r>
        <w:rPr>
          <w:rFonts w:ascii="Arial" w:hAnsi="Arial" w:cs="Arial"/>
          <w:lang w:val="tr-TR"/>
        </w:rPr>
        <w:t>Rosh</w:t>
      </w:r>
      <w:proofErr w:type="spellEnd"/>
      <w:r>
        <w:rPr>
          <w:rFonts w:ascii="Arial" w:hAnsi="Arial" w:cs="Arial"/>
          <w:lang w:val="tr-TR"/>
        </w:rPr>
        <w:t xml:space="preserve"> Direktifi ve ilgili </w:t>
      </w:r>
      <w:r w:rsidR="00B0616D">
        <w:rPr>
          <w:rFonts w:ascii="Arial" w:hAnsi="Arial" w:cs="Arial"/>
          <w:lang w:val="tr-TR"/>
        </w:rPr>
        <w:t xml:space="preserve">yerel </w:t>
      </w:r>
      <w:r>
        <w:rPr>
          <w:rFonts w:ascii="Arial" w:hAnsi="Arial" w:cs="Arial"/>
          <w:lang w:val="tr-TR"/>
        </w:rPr>
        <w:t>mevzuatlar</w:t>
      </w:r>
    </w:p>
    <w:p w:rsid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7F49A3">
        <w:rPr>
          <w:rFonts w:ascii="Arial" w:hAnsi="Arial" w:cs="Arial"/>
          <w:lang w:val="tr-TR"/>
        </w:rPr>
        <w:t>768/2008/EC</w:t>
      </w:r>
      <w:r w:rsidR="00B0616D"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nolu</w:t>
      </w:r>
      <w:proofErr w:type="spellEnd"/>
      <w:r>
        <w:rPr>
          <w:rFonts w:ascii="Arial" w:hAnsi="Arial" w:cs="Arial"/>
          <w:lang w:val="tr-TR"/>
        </w:rPr>
        <w:t xml:space="preserve"> CE kararı ve ilgili </w:t>
      </w:r>
      <w:r w:rsidR="00B0616D">
        <w:rPr>
          <w:rFonts w:ascii="Arial" w:hAnsi="Arial" w:cs="Arial"/>
          <w:lang w:val="tr-TR"/>
        </w:rPr>
        <w:t xml:space="preserve">yerel </w:t>
      </w:r>
      <w:r>
        <w:rPr>
          <w:rFonts w:ascii="Arial" w:hAnsi="Arial" w:cs="Arial"/>
          <w:lang w:val="tr-TR"/>
        </w:rPr>
        <w:t>mevzuatlar</w:t>
      </w:r>
    </w:p>
    <w:p w:rsidR="00B0616D" w:rsidRPr="00B0616D" w:rsidRDefault="00B0616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B0616D">
        <w:rPr>
          <w:rFonts w:ascii="Arial" w:hAnsi="Arial" w:cs="Arial"/>
          <w:lang w:val="tr-TR"/>
        </w:rPr>
        <w:t>874/2012</w:t>
      </w:r>
      <w:r>
        <w:rPr>
          <w:rFonts w:ascii="Arial" w:hAnsi="Arial" w:cs="Arial"/>
          <w:lang w:val="tr-TR"/>
        </w:rPr>
        <w:t>/EU</w:t>
      </w:r>
      <w:r w:rsidR="001F3B9F">
        <w:rPr>
          <w:rFonts w:ascii="Arial" w:hAnsi="Arial" w:cs="Arial"/>
          <w:lang w:val="tr-TR"/>
        </w:rPr>
        <w:t xml:space="preserve"> ve </w:t>
      </w:r>
      <w:r w:rsidR="001F3B9F" w:rsidRPr="001F3B9F">
        <w:rPr>
          <w:rFonts w:ascii="Arial" w:hAnsi="Arial" w:cs="Arial"/>
          <w:lang w:val="tr-TR"/>
        </w:rPr>
        <w:t>EU/1194/2012</w:t>
      </w:r>
      <w:r w:rsidR="001F3B9F" w:rsidRPr="00D87B7A">
        <w:rPr>
          <w:sz w:val="18"/>
          <w:szCs w:val="18"/>
          <w:lang w:val="tr-TR"/>
        </w:rPr>
        <w:t xml:space="preserve"> </w:t>
      </w:r>
      <w:r>
        <w:rPr>
          <w:rFonts w:ascii="Arial" w:hAnsi="Arial" w:cs="Arial"/>
          <w:lang w:val="tr-TR"/>
        </w:rPr>
        <w:t>Enerji Etiketlemesi</w:t>
      </w:r>
      <w:r w:rsidR="001F3B9F">
        <w:rPr>
          <w:rFonts w:ascii="Arial" w:hAnsi="Arial" w:cs="Arial"/>
          <w:lang w:val="tr-TR"/>
        </w:rPr>
        <w:t xml:space="preserve"> ve Çevreye </w:t>
      </w:r>
      <w:r w:rsidR="00AA20C1">
        <w:rPr>
          <w:rFonts w:ascii="Arial" w:hAnsi="Arial" w:cs="Arial"/>
          <w:lang w:val="tr-TR"/>
        </w:rPr>
        <w:t xml:space="preserve">Duyarlı Tasarım </w:t>
      </w:r>
      <w:r>
        <w:rPr>
          <w:rFonts w:ascii="Arial" w:hAnsi="Arial" w:cs="Arial"/>
          <w:lang w:val="tr-TR"/>
        </w:rPr>
        <w:t>düzenleme</w:t>
      </w:r>
      <w:r w:rsidR="001F3B9F">
        <w:rPr>
          <w:rFonts w:ascii="Arial" w:hAnsi="Arial" w:cs="Arial"/>
          <w:lang w:val="tr-TR"/>
        </w:rPr>
        <w:t>leri</w:t>
      </w:r>
      <w:r>
        <w:rPr>
          <w:rFonts w:ascii="Arial" w:hAnsi="Arial" w:cs="Arial"/>
          <w:lang w:val="tr-TR"/>
        </w:rPr>
        <w:t xml:space="preserve"> </w:t>
      </w:r>
      <w:r w:rsidR="001F3B9F">
        <w:rPr>
          <w:rFonts w:ascii="Arial" w:hAnsi="Arial" w:cs="Arial"/>
          <w:lang w:val="tr-TR"/>
        </w:rPr>
        <w:t>ile</w:t>
      </w:r>
      <w:r>
        <w:rPr>
          <w:rFonts w:ascii="Arial" w:hAnsi="Arial" w:cs="Arial"/>
          <w:lang w:val="tr-TR"/>
        </w:rPr>
        <w:t xml:space="preserve"> ilgili yerel mevzuatlar</w:t>
      </w:r>
      <w:r w:rsidRPr="00B0616D">
        <w:rPr>
          <w:rFonts w:ascii="Arial" w:hAnsi="Arial" w:cs="Arial"/>
          <w:lang w:val="tr-TR"/>
        </w:rPr>
        <w:t xml:space="preserve"> </w:t>
      </w:r>
    </w:p>
    <w:p w:rsid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7F49A3">
        <w:rPr>
          <w:rFonts w:ascii="Arial" w:hAnsi="Arial" w:cs="Arial"/>
          <w:lang w:val="tr-TR"/>
        </w:rPr>
        <w:t>TSE kararları</w:t>
      </w:r>
    </w:p>
    <w:p w:rsidR="002419DD" w:rsidRPr="002419DD" w:rsidRDefault="002419DD" w:rsidP="002419DD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lang w:val="tr-TR"/>
        </w:rPr>
      </w:pPr>
      <w:r w:rsidRPr="007F49A3">
        <w:rPr>
          <w:rFonts w:ascii="Arial" w:hAnsi="Arial" w:cs="Arial"/>
          <w:lang w:val="tr-TR"/>
        </w:rPr>
        <w:t xml:space="preserve">WELMEC rehberleri, </w:t>
      </w:r>
    </w:p>
    <w:p w:rsidR="000A18C8" w:rsidRPr="00966374" w:rsidRDefault="00420130" w:rsidP="00E02F18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lang w:val="tr-TR"/>
        </w:rPr>
      </w:pPr>
      <w:r w:rsidRPr="00E97A60">
        <w:rPr>
          <w:rFonts w:ascii="Arial" w:hAnsi="Arial" w:cs="Arial"/>
          <w:lang w:val="tr-TR"/>
        </w:rPr>
        <w:t>Çevre Yönetim Sistemimiz ise ISO 14001:2015 standardı refe</w:t>
      </w:r>
      <w:r w:rsidR="00E02F18" w:rsidRPr="00E97A60">
        <w:rPr>
          <w:rFonts w:ascii="Arial" w:hAnsi="Arial" w:cs="Arial"/>
          <w:lang w:val="tr-TR"/>
        </w:rPr>
        <w:t>rans alınarak, faaliyetlerimizi</w:t>
      </w:r>
      <w:r w:rsidR="00055968">
        <w:rPr>
          <w:rFonts w:ascii="Arial" w:hAnsi="Arial" w:cs="Arial"/>
          <w:lang w:val="tr-TR"/>
        </w:rPr>
        <w:t xml:space="preserve"> </w:t>
      </w:r>
      <w:r w:rsidRPr="00E97A60">
        <w:rPr>
          <w:rFonts w:ascii="Arial" w:hAnsi="Arial" w:cs="Arial"/>
          <w:lang w:val="tr-TR"/>
        </w:rPr>
        <w:t xml:space="preserve">insan ve çevre sağlığını tehdit etmeden, </w:t>
      </w:r>
      <w:r w:rsidR="007266CC" w:rsidRPr="00E97A60">
        <w:rPr>
          <w:rFonts w:ascii="Arial" w:hAnsi="Arial" w:cs="Arial"/>
          <w:lang w:val="tr-TR"/>
        </w:rPr>
        <w:t xml:space="preserve">yasal mevzuatları karşılayarak,  en uygun kaynak kullanımıyla </w:t>
      </w:r>
      <w:r w:rsidRPr="00E97A60">
        <w:rPr>
          <w:rFonts w:ascii="Arial" w:hAnsi="Arial" w:cs="Arial"/>
          <w:lang w:val="tr-TR"/>
        </w:rPr>
        <w:t>gerçekleştirme hedefi ile oluşturulmuştur</w:t>
      </w:r>
      <w:r w:rsidR="009E47BD" w:rsidRPr="00E97A60">
        <w:rPr>
          <w:rFonts w:ascii="Arial" w:hAnsi="Arial" w:cs="Arial"/>
          <w:lang w:val="tr-TR"/>
        </w:rPr>
        <w:t xml:space="preserve">. Ayrıca </w:t>
      </w:r>
      <w:proofErr w:type="spellStart"/>
      <w:r w:rsidR="009E47BD" w:rsidRPr="00E97A60">
        <w:rPr>
          <w:rFonts w:ascii="Arial" w:hAnsi="Arial" w:cs="Arial"/>
          <w:lang w:val="tr-TR"/>
        </w:rPr>
        <w:t>Makel</w:t>
      </w:r>
      <w:proofErr w:type="spellEnd"/>
      <w:r w:rsidR="009E47BD" w:rsidRPr="00E97A60">
        <w:rPr>
          <w:rFonts w:ascii="Arial" w:hAnsi="Arial" w:cs="Arial"/>
          <w:lang w:val="tr-TR"/>
        </w:rPr>
        <w:t xml:space="preserve"> Elektrik’in, </w:t>
      </w:r>
      <w:proofErr w:type="spellStart"/>
      <w:r w:rsidR="009E47BD" w:rsidRPr="00E97A60">
        <w:rPr>
          <w:rFonts w:ascii="Arial" w:hAnsi="Arial" w:cs="Arial"/>
          <w:lang w:val="tr-TR"/>
        </w:rPr>
        <w:t>Esenyurt</w:t>
      </w:r>
      <w:proofErr w:type="spellEnd"/>
      <w:r w:rsidR="009E47BD" w:rsidRPr="00E97A60">
        <w:rPr>
          <w:rFonts w:ascii="Arial" w:hAnsi="Arial" w:cs="Arial"/>
          <w:lang w:val="tr-TR"/>
        </w:rPr>
        <w:t xml:space="preserve"> Kıraç bölgesindeki tesislerinde gerçekleştirdiği tüm proses ve faaliyetleri kapsayacak şekilde, ancak </w:t>
      </w:r>
      <w:r w:rsidR="009E47BD" w:rsidRPr="00E97A60">
        <w:rPr>
          <w:rFonts w:ascii="Arial" w:hAnsi="Arial" w:cs="Arial"/>
          <w:bCs/>
          <w:lang w:val="tr-TR"/>
        </w:rPr>
        <w:t xml:space="preserve">kuruluşumuzun kontrol altında tutabildiği ve etkileyebildiği çevre boyutları esas alınarak </w:t>
      </w:r>
      <w:r w:rsidR="00E833B1" w:rsidRPr="00E97A60">
        <w:rPr>
          <w:rFonts w:ascii="Arial" w:hAnsi="Arial" w:cs="Arial"/>
          <w:bCs/>
          <w:lang w:val="tr-TR"/>
        </w:rPr>
        <w:t xml:space="preserve">Çevre Yönetim Sistemimiz, </w:t>
      </w:r>
      <w:r w:rsidR="009E47BD" w:rsidRPr="00E97A60">
        <w:rPr>
          <w:rFonts w:ascii="Arial" w:hAnsi="Arial" w:cs="Arial"/>
          <w:bCs/>
          <w:lang w:val="tr-TR"/>
        </w:rPr>
        <w:t xml:space="preserve">tanımlanmıştır. </w:t>
      </w:r>
    </w:p>
    <w:p w:rsidR="00966374" w:rsidRPr="00EF1A32" w:rsidRDefault="00966374" w:rsidP="00E02F18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lang w:val="tr-TR"/>
        </w:rPr>
      </w:pPr>
      <w:r w:rsidRPr="00966374">
        <w:rPr>
          <w:rFonts w:ascii="Arial" w:hAnsi="Arial" w:cs="Arial"/>
          <w:i/>
          <w:iCs/>
          <w:color w:val="0000FF"/>
          <w:lang w:val="tr-TR"/>
        </w:rPr>
        <w:t>İ</w:t>
      </w:r>
      <w:r>
        <w:rPr>
          <w:rFonts w:ascii="Arial" w:hAnsi="Arial" w:cs="Arial"/>
          <w:i/>
          <w:iCs/>
          <w:color w:val="0000FF"/>
          <w:lang w:val="tr-TR"/>
        </w:rPr>
        <w:t xml:space="preserve">ş </w:t>
      </w:r>
      <w:r w:rsidRPr="00966374">
        <w:rPr>
          <w:rFonts w:ascii="Arial" w:hAnsi="Arial" w:cs="Arial"/>
          <w:i/>
          <w:iCs/>
          <w:color w:val="0000FF"/>
          <w:lang w:val="tr-TR"/>
        </w:rPr>
        <w:t>S</w:t>
      </w:r>
      <w:r>
        <w:rPr>
          <w:rFonts w:ascii="Arial" w:hAnsi="Arial" w:cs="Arial"/>
          <w:i/>
          <w:iCs/>
          <w:color w:val="0000FF"/>
          <w:lang w:val="tr-TR"/>
        </w:rPr>
        <w:t xml:space="preserve">ağlığı ve </w:t>
      </w:r>
      <w:r w:rsidRPr="00966374">
        <w:rPr>
          <w:rFonts w:ascii="Arial" w:hAnsi="Arial" w:cs="Arial"/>
          <w:i/>
          <w:iCs/>
          <w:color w:val="0000FF"/>
          <w:lang w:val="tr-TR"/>
        </w:rPr>
        <w:t>G</w:t>
      </w:r>
      <w:r>
        <w:rPr>
          <w:rFonts w:ascii="Arial" w:hAnsi="Arial" w:cs="Arial"/>
          <w:i/>
          <w:iCs/>
          <w:color w:val="0000FF"/>
          <w:lang w:val="tr-TR"/>
        </w:rPr>
        <w:t>üvenliği</w:t>
      </w:r>
      <w:r w:rsidR="007C2BF0">
        <w:rPr>
          <w:rFonts w:ascii="Arial" w:hAnsi="Arial" w:cs="Arial"/>
          <w:i/>
          <w:iCs/>
          <w:color w:val="0000FF"/>
          <w:lang w:val="tr-TR"/>
        </w:rPr>
        <w:t xml:space="preserve"> Yönetim sistemimi</w:t>
      </w:r>
      <w:r w:rsidR="00287357">
        <w:rPr>
          <w:rFonts w:ascii="Arial" w:hAnsi="Arial" w:cs="Arial"/>
          <w:i/>
          <w:iCs/>
          <w:color w:val="0000FF"/>
          <w:lang w:val="tr-TR"/>
        </w:rPr>
        <w:t>z</w:t>
      </w:r>
      <w:r w:rsidR="007C2BF0">
        <w:rPr>
          <w:rFonts w:ascii="Arial" w:hAnsi="Arial" w:cs="Arial"/>
          <w:i/>
          <w:iCs/>
          <w:color w:val="0000FF"/>
          <w:lang w:val="tr-TR"/>
        </w:rPr>
        <w:t xml:space="preserve"> </w:t>
      </w:r>
      <w:r w:rsidR="00802798">
        <w:rPr>
          <w:rFonts w:ascii="Arial" w:hAnsi="Arial" w:cs="Arial"/>
          <w:i/>
          <w:iCs/>
          <w:color w:val="0000FF"/>
          <w:lang w:val="tr-TR"/>
        </w:rPr>
        <w:t>de</w:t>
      </w:r>
      <w:r w:rsidR="007C2BF0">
        <w:rPr>
          <w:rFonts w:ascii="Arial" w:hAnsi="Arial" w:cs="Arial"/>
          <w:i/>
          <w:iCs/>
          <w:color w:val="0000FF"/>
          <w:lang w:val="tr-TR"/>
        </w:rPr>
        <w:t xml:space="preserve"> </w:t>
      </w:r>
      <w:r w:rsidR="007C2BF0" w:rsidRPr="00966374">
        <w:rPr>
          <w:rFonts w:ascii="Arial" w:hAnsi="Arial" w:cs="Arial"/>
          <w:i/>
          <w:iCs/>
          <w:color w:val="0000FF"/>
          <w:lang w:val="tr-TR"/>
        </w:rPr>
        <w:t xml:space="preserve">ISO </w:t>
      </w:r>
      <w:r w:rsidR="007C2BF0" w:rsidRPr="00802798">
        <w:rPr>
          <w:rFonts w:ascii="Arial" w:hAnsi="Arial" w:cs="Arial"/>
          <w:i/>
          <w:iCs/>
          <w:color w:val="0000FF"/>
          <w:lang w:val="tr-TR"/>
        </w:rPr>
        <w:t xml:space="preserve">45001:2018 standardını referans alınarak, </w:t>
      </w:r>
      <w:r w:rsidR="00287357">
        <w:rPr>
          <w:rFonts w:ascii="Arial" w:hAnsi="Arial" w:cs="Arial"/>
          <w:i/>
          <w:iCs/>
          <w:color w:val="0000FF"/>
          <w:lang w:val="tr-TR"/>
        </w:rPr>
        <w:t xml:space="preserve">tüm </w:t>
      </w:r>
      <w:r w:rsidR="007C2BF0" w:rsidRPr="00802798">
        <w:rPr>
          <w:rFonts w:ascii="Arial" w:hAnsi="Arial" w:cs="Arial"/>
          <w:i/>
          <w:iCs/>
          <w:color w:val="0000FF"/>
          <w:lang w:val="tr-TR"/>
        </w:rPr>
        <w:t>faaliyetlerimiz</w:t>
      </w:r>
      <w:r w:rsidR="00287357">
        <w:rPr>
          <w:rFonts w:ascii="Arial" w:hAnsi="Arial" w:cs="Arial"/>
          <w:i/>
          <w:iCs/>
          <w:color w:val="0000FF"/>
          <w:lang w:val="tr-TR"/>
        </w:rPr>
        <w:t>de İSG</w:t>
      </w:r>
      <w:r w:rsidR="007C2BF0" w:rsidRPr="00802798">
        <w:rPr>
          <w:rFonts w:ascii="Arial" w:hAnsi="Arial" w:cs="Arial"/>
          <w:i/>
          <w:iCs/>
          <w:color w:val="0000FF"/>
          <w:lang w:val="tr-TR"/>
        </w:rPr>
        <w:t xml:space="preserve"> mevzuatlarına uygunluğu sağla</w:t>
      </w:r>
      <w:r w:rsidR="00287357">
        <w:rPr>
          <w:rFonts w:ascii="Arial" w:hAnsi="Arial" w:cs="Arial"/>
          <w:i/>
          <w:iCs/>
          <w:color w:val="0000FF"/>
          <w:lang w:val="tr-TR"/>
        </w:rPr>
        <w:t>mak</w:t>
      </w:r>
      <w:r w:rsidR="007C2BF0" w:rsidRPr="00802798">
        <w:rPr>
          <w:rFonts w:ascii="Arial" w:hAnsi="Arial" w:cs="Arial"/>
          <w:i/>
          <w:iCs/>
          <w:color w:val="0000FF"/>
          <w:lang w:val="tr-TR"/>
        </w:rPr>
        <w:t xml:space="preserve"> ve çalışanlarımıza güvenli ve sağlıklı çalışma koşulları </w:t>
      </w:r>
      <w:r w:rsidR="00154BAF">
        <w:rPr>
          <w:rFonts w:ascii="Arial" w:hAnsi="Arial" w:cs="Arial"/>
          <w:i/>
          <w:iCs/>
          <w:color w:val="0000FF"/>
          <w:lang w:val="tr-TR"/>
        </w:rPr>
        <w:t>sunmak</w:t>
      </w:r>
      <w:r w:rsidR="007C2BF0" w:rsidRPr="00802798">
        <w:rPr>
          <w:rFonts w:ascii="Arial" w:hAnsi="Arial" w:cs="Arial"/>
          <w:i/>
          <w:iCs/>
          <w:color w:val="0000FF"/>
          <w:lang w:val="tr-TR"/>
        </w:rPr>
        <w:t xml:space="preserve"> amacıyla </w:t>
      </w:r>
      <w:r w:rsidR="00802798" w:rsidRPr="00802798">
        <w:rPr>
          <w:rFonts w:ascii="Arial" w:hAnsi="Arial" w:cs="Arial"/>
          <w:i/>
          <w:iCs/>
          <w:color w:val="0000FF"/>
          <w:lang w:val="tr-TR"/>
        </w:rPr>
        <w:t>oluşturulmuştur.</w:t>
      </w:r>
      <w:r w:rsidR="00287357">
        <w:rPr>
          <w:rFonts w:ascii="Arial" w:hAnsi="Arial" w:cs="Arial"/>
          <w:i/>
          <w:iCs/>
          <w:color w:val="0000FF"/>
          <w:lang w:val="tr-TR"/>
        </w:rPr>
        <w:t xml:space="preserve"> Yönetim sistemimiz, </w:t>
      </w:r>
      <w:proofErr w:type="spellStart"/>
      <w:r w:rsidR="00287357" w:rsidRPr="00287357">
        <w:rPr>
          <w:rFonts w:ascii="Arial" w:hAnsi="Arial" w:cs="Arial"/>
          <w:i/>
          <w:iCs/>
          <w:color w:val="0000FF"/>
          <w:lang w:val="tr-TR"/>
        </w:rPr>
        <w:t>Esenyurt</w:t>
      </w:r>
      <w:proofErr w:type="spellEnd"/>
      <w:r w:rsidR="00287357" w:rsidRPr="00287357">
        <w:rPr>
          <w:rFonts w:ascii="Arial" w:hAnsi="Arial" w:cs="Arial"/>
          <w:i/>
          <w:iCs/>
          <w:color w:val="0000FF"/>
          <w:lang w:val="tr-TR"/>
        </w:rPr>
        <w:t>-Kıraç bö</w:t>
      </w:r>
      <w:r w:rsidR="00287357">
        <w:rPr>
          <w:rFonts w:ascii="Arial" w:hAnsi="Arial" w:cs="Arial"/>
          <w:i/>
          <w:iCs/>
          <w:color w:val="0000FF"/>
          <w:lang w:val="tr-TR"/>
        </w:rPr>
        <w:t>l</w:t>
      </w:r>
      <w:r w:rsidR="00287357" w:rsidRPr="00287357">
        <w:rPr>
          <w:rFonts w:ascii="Arial" w:hAnsi="Arial" w:cs="Arial"/>
          <w:i/>
          <w:iCs/>
          <w:color w:val="0000FF"/>
          <w:lang w:val="tr-TR"/>
        </w:rPr>
        <w:t>gesinde yer alan</w:t>
      </w:r>
      <w:r w:rsidR="00287357" w:rsidRPr="00154BAF">
        <w:rPr>
          <w:rFonts w:ascii="Arial" w:hAnsi="Arial" w:cs="Arial"/>
          <w:i/>
          <w:iCs/>
          <w:color w:val="0000FF"/>
          <w:lang w:val="tr-TR"/>
        </w:rPr>
        <w:t xml:space="preserve"> tesislerimizdeki faaliyetleri </w:t>
      </w:r>
      <w:r w:rsidR="00154BAF" w:rsidRPr="00154BAF">
        <w:rPr>
          <w:rFonts w:ascii="Arial" w:hAnsi="Arial" w:cs="Arial"/>
          <w:i/>
          <w:iCs/>
          <w:color w:val="0000FF"/>
          <w:lang w:val="tr-TR"/>
        </w:rPr>
        <w:t>kapsamakta olup, tesislerimize gelen tüm tedarikçi ve ziyaret</w:t>
      </w:r>
      <w:r w:rsidR="00154BAF">
        <w:rPr>
          <w:rFonts w:ascii="Arial" w:hAnsi="Arial" w:cs="Arial"/>
          <w:i/>
          <w:iCs/>
          <w:color w:val="0000FF"/>
          <w:lang w:val="tr-TR"/>
        </w:rPr>
        <w:t>ç</w:t>
      </w:r>
      <w:r w:rsidR="00154BAF" w:rsidRPr="00154BAF">
        <w:rPr>
          <w:rFonts w:ascii="Arial" w:hAnsi="Arial" w:cs="Arial"/>
          <w:i/>
          <w:iCs/>
          <w:color w:val="0000FF"/>
          <w:lang w:val="tr-TR"/>
        </w:rPr>
        <w:t>ilerimizi de kapsamaktadır.</w:t>
      </w:r>
    </w:p>
    <w:p w:rsidR="00802798" w:rsidRDefault="00802798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</w:p>
    <w:p w:rsidR="00802798" w:rsidRDefault="00802798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</w:p>
    <w:p w:rsidR="00D87B7A" w:rsidRDefault="00D87B7A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</w:p>
    <w:p w:rsidR="00D87B7A" w:rsidRDefault="00D87B7A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</w:p>
    <w:p w:rsidR="00054B2B" w:rsidRDefault="00054B2B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lastRenderedPageBreak/>
        <w:t xml:space="preserve">Yönetim Sistemimiz, </w:t>
      </w:r>
      <w:proofErr w:type="spellStart"/>
      <w:r>
        <w:rPr>
          <w:rFonts w:ascii="Arial" w:hAnsi="Arial" w:cs="Arial"/>
          <w:lang w:val="tr-TR"/>
        </w:rPr>
        <w:t>Makel’in</w:t>
      </w:r>
      <w:proofErr w:type="spellEnd"/>
      <w:r>
        <w:rPr>
          <w:rFonts w:ascii="Arial" w:hAnsi="Arial" w:cs="Arial"/>
          <w:lang w:val="tr-TR"/>
        </w:rPr>
        <w:t xml:space="preserve"> sahip olduğu maddi varlıklar ile kurum</w:t>
      </w:r>
      <w:r w:rsidR="007F7C23">
        <w:rPr>
          <w:rFonts w:ascii="Arial" w:hAnsi="Arial" w:cs="Arial"/>
          <w:lang w:val="tr-TR"/>
        </w:rPr>
        <w:t xml:space="preserve">sal değerler, kurumsal </w:t>
      </w:r>
      <w:r>
        <w:rPr>
          <w:rFonts w:ascii="Arial" w:hAnsi="Arial" w:cs="Arial"/>
          <w:lang w:val="tr-TR"/>
        </w:rPr>
        <w:t xml:space="preserve">bilgi ve </w:t>
      </w:r>
      <w:r w:rsidR="007F7C23">
        <w:rPr>
          <w:rFonts w:ascii="Arial" w:hAnsi="Arial" w:cs="Arial"/>
          <w:lang w:val="tr-TR"/>
        </w:rPr>
        <w:t xml:space="preserve">kurum </w:t>
      </w:r>
      <w:r>
        <w:rPr>
          <w:rFonts w:ascii="Arial" w:hAnsi="Arial" w:cs="Arial"/>
          <w:lang w:val="tr-TR"/>
        </w:rPr>
        <w:t>kültürü esas alınarak oluşturulmuştur.</w:t>
      </w:r>
    </w:p>
    <w:p w:rsidR="002854EE" w:rsidRDefault="00495507" w:rsidP="001753D8">
      <w:pPr>
        <w:spacing w:line="360" w:lineRule="auto"/>
        <w:ind w:firstLine="709"/>
        <w:jc w:val="both"/>
        <w:rPr>
          <w:rFonts w:ascii="Arial" w:hAnsi="Arial" w:cs="Arial"/>
          <w:lang w:val="tr-TR"/>
        </w:rPr>
      </w:pPr>
      <w:r w:rsidRPr="000A18C8">
        <w:rPr>
          <w:rFonts w:ascii="Arial" w:hAnsi="Arial" w:cs="Arial"/>
          <w:lang w:val="tr-TR"/>
        </w:rPr>
        <w:t>Kuruluşumuz</w:t>
      </w:r>
      <w:r w:rsidR="000D7572">
        <w:rPr>
          <w:rFonts w:ascii="Arial" w:hAnsi="Arial" w:cs="Arial"/>
          <w:lang w:val="tr-TR"/>
        </w:rPr>
        <w:t>,</w:t>
      </w:r>
      <w:r w:rsidRPr="000A18C8">
        <w:rPr>
          <w:rFonts w:ascii="Arial" w:hAnsi="Arial" w:cs="Arial"/>
          <w:lang w:val="tr-TR"/>
        </w:rPr>
        <w:t xml:space="preserve"> uluslararası </w:t>
      </w:r>
      <w:r w:rsidR="000D7572">
        <w:rPr>
          <w:rFonts w:ascii="Arial" w:hAnsi="Arial" w:cs="Arial"/>
          <w:lang w:val="tr-TR"/>
        </w:rPr>
        <w:t xml:space="preserve">yönetim </w:t>
      </w:r>
      <w:r w:rsidR="000D7572" w:rsidRPr="000A18C8">
        <w:rPr>
          <w:rFonts w:ascii="Arial" w:hAnsi="Arial" w:cs="Arial"/>
          <w:lang w:val="tr-TR"/>
        </w:rPr>
        <w:t>standart</w:t>
      </w:r>
      <w:r w:rsidR="000D7572">
        <w:rPr>
          <w:rFonts w:ascii="Arial" w:hAnsi="Arial" w:cs="Arial"/>
          <w:lang w:val="tr-TR"/>
        </w:rPr>
        <w:t>ların</w:t>
      </w:r>
      <w:r w:rsidR="000D7572" w:rsidRPr="000A18C8">
        <w:rPr>
          <w:rFonts w:ascii="Arial" w:hAnsi="Arial" w:cs="Arial"/>
          <w:lang w:val="tr-TR"/>
        </w:rPr>
        <w:t>ın</w:t>
      </w:r>
      <w:r w:rsidRPr="000A18C8">
        <w:rPr>
          <w:rFonts w:ascii="Arial" w:hAnsi="Arial" w:cs="Arial"/>
          <w:lang w:val="tr-TR"/>
        </w:rPr>
        <w:t xml:space="preserve"> tüm maddelerini karşılayacak şekilde yönetim sistemi</w:t>
      </w:r>
      <w:r w:rsidR="000D7572">
        <w:rPr>
          <w:rFonts w:ascii="Arial" w:hAnsi="Arial" w:cs="Arial"/>
          <w:lang w:val="tr-TR"/>
        </w:rPr>
        <w:t>ni tasarlamış ve uygulamaktadır.</w:t>
      </w:r>
      <w:r w:rsidR="00DA3018">
        <w:rPr>
          <w:rFonts w:ascii="Arial" w:hAnsi="Arial" w:cs="Arial"/>
          <w:lang w:val="tr-TR"/>
        </w:rPr>
        <w:t xml:space="preserve"> </w:t>
      </w:r>
      <w:r w:rsidRPr="000A18C8">
        <w:rPr>
          <w:rFonts w:ascii="Arial" w:hAnsi="Arial" w:cs="Arial"/>
          <w:lang w:val="tr-TR"/>
        </w:rPr>
        <w:t>ISO 9001:2015</w:t>
      </w:r>
      <w:r w:rsidR="00966374">
        <w:rPr>
          <w:rFonts w:ascii="Arial" w:hAnsi="Arial" w:cs="Arial"/>
          <w:lang w:val="tr-TR"/>
        </w:rPr>
        <w:t>,</w:t>
      </w:r>
      <w:r w:rsidR="00EA6833" w:rsidRPr="000A18C8">
        <w:rPr>
          <w:rFonts w:ascii="Arial" w:hAnsi="Arial" w:cs="Arial"/>
          <w:lang w:val="tr-TR"/>
        </w:rPr>
        <w:t xml:space="preserve"> ISO 14001:2015 </w:t>
      </w:r>
      <w:r w:rsidR="00966374">
        <w:rPr>
          <w:rFonts w:ascii="Arial" w:hAnsi="Arial" w:cs="Arial"/>
          <w:lang w:val="tr-TR"/>
        </w:rPr>
        <w:t xml:space="preserve">ve </w:t>
      </w:r>
      <w:r w:rsidR="00966374" w:rsidRPr="00966374">
        <w:rPr>
          <w:rFonts w:ascii="Arial" w:hAnsi="Arial" w:cs="Arial"/>
          <w:i/>
          <w:iCs/>
          <w:color w:val="0000FF"/>
          <w:lang w:val="tr-TR"/>
        </w:rPr>
        <w:t xml:space="preserve">ISO 45001:2018 </w:t>
      </w:r>
      <w:r w:rsidR="00EA6833" w:rsidRPr="000A18C8">
        <w:rPr>
          <w:rFonts w:ascii="Arial" w:hAnsi="Arial" w:cs="Arial"/>
          <w:lang w:val="tr-TR"/>
        </w:rPr>
        <w:t>standartları</w:t>
      </w:r>
      <w:r w:rsidRPr="000A18C8">
        <w:rPr>
          <w:rFonts w:ascii="Arial" w:hAnsi="Arial" w:cs="Arial"/>
          <w:lang w:val="tr-TR"/>
        </w:rPr>
        <w:t>nda kapsam dışı bırakılan madde yoktur.</w:t>
      </w:r>
    </w:p>
    <w:p w:rsidR="00966374" w:rsidRPr="00966374" w:rsidRDefault="00966374" w:rsidP="00966374">
      <w:pPr>
        <w:spacing w:line="360" w:lineRule="auto"/>
        <w:ind w:firstLine="709"/>
        <w:jc w:val="both"/>
        <w:rPr>
          <w:rFonts w:ascii="Arial" w:hAnsi="Arial" w:cs="Arial"/>
          <w:iCs/>
          <w:lang w:val="tr-TR"/>
        </w:rPr>
      </w:pPr>
      <w:r w:rsidRPr="00966374">
        <w:rPr>
          <w:rFonts w:ascii="Arial" w:hAnsi="Arial" w:cs="Arial"/>
          <w:iCs/>
          <w:lang w:val="tr-TR"/>
        </w:rPr>
        <w:t>Üretim faaliyetlerimizin bir kısmı; boyama, kaplama ve kısmi alt montaj işlemleri kurum dışında yapılmakta olup, bu tip dış kaynaklı prosesler de Yönetim Sisteminin bir parçasıdır.</w:t>
      </w:r>
    </w:p>
    <w:p w:rsidR="00966374" w:rsidRPr="00D87B7A" w:rsidRDefault="00966374" w:rsidP="001753D8">
      <w:pPr>
        <w:spacing w:line="360" w:lineRule="auto"/>
        <w:ind w:firstLine="709"/>
        <w:jc w:val="both"/>
        <w:rPr>
          <w:lang w:val="tr-TR"/>
        </w:rPr>
      </w:pPr>
    </w:p>
    <w:p w:rsidR="002854EE" w:rsidRPr="00D87B7A" w:rsidRDefault="002854EE" w:rsidP="002854EE">
      <w:pPr>
        <w:spacing w:line="360" w:lineRule="auto"/>
        <w:rPr>
          <w:lang w:val="tr-TR"/>
        </w:rPr>
      </w:pPr>
    </w:p>
    <w:sectPr w:rsidR="002854EE" w:rsidRPr="00D87B7A" w:rsidSect="00EF1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D26" w:rsidRDefault="00172D26" w:rsidP="00770C09">
      <w:r>
        <w:separator/>
      </w:r>
    </w:p>
  </w:endnote>
  <w:endnote w:type="continuationSeparator" w:id="0">
    <w:p w:rsidR="00172D26" w:rsidRDefault="00172D26" w:rsidP="007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D00078F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3DD" w:rsidRDefault="00E47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0" w:rsidRDefault="00AA0700" w:rsidP="00770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3DD" w:rsidRDefault="00E4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D26" w:rsidRDefault="00172D26" w:rsidP="00770C09">
      <w:r>
        <w:separator/>
      </w:r>
    </w:p>
  </w:footnote>
  <w:footnote w:type="continuationSeparator" w:id="0">
    <w:p w:rsidR="00172D26" w:rsidRDefault="00172D26" w:rsidP="0077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3DD" w:rsidRDefault="00E4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365"/>
      <w:gridCol w:w="1418"/>
      <w:gridCol w:w="992"/>
    </w:tblGrid>
    <w:tr w:rsidR="00AA0700" w:rsidRPr="00DD68C5" w:rsidTr="00EF1A32">
      <w:trPr>
        <w:trHeight w:val="268"/>
      </w:trPr>
      <w:tc>
        <w:tcPr>
          <w:tcW w:w="2076" w:type="dxa"/>
          <w:vMerge w:val="restart"/>
          <w:vAlign w:val="center"/>
        </w:tcPr>
        <w:p w:rsidR="00AA0700" w:rsidRPr="00992D57" w:rsidRDefault="00AA0700" w:rsidP="00054B2B">
          <w:pPr>
            <w:jc w:val="center"/>
            <w:rPr>
              <w:rFonts w:cs="Arial"/>
              <w:b/>
              <w:color w:val="000000"/>
              <w:position w:val="12"/>
              <w:sz w:val="22"/>
            </w:rPr>
          </w:pPr>
          <w:r>
            <w:rPr>
              <w:rFonts w:cs="Arial"/>
              <w:noProof/>
              <w:lang w:val="tr-TR"/>
            </w:rPr>
            <w:drawing>
              <wp:inline distT="0" distB="0" distL="0" distR="0">
                <wp:extent cx="1167130" cy="340360"/>
                <wp:effectExtent l="19050" t="0" r="0" b="0"/>
                <wp:docPr id="2" name="Resim 1" descr="MAKEL LOGO • YEN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KEL LOGO • YEN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3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5" w:type="dxa"/>
          <w:vMerge w:val="restart"/>
          <w:vAlign w:val="center"/>
        </w:tcPr>
        <w:p w:rsidR="00AA0700" w:rsidRPr="009E4DD0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YÖNETİM SİSTEMİNİN KAPSAMI</w:t>
          </w:r>
        </w:p>
      </w:tc>
      <w:tc>
        <w:tcPr>
          <w:tcW w:w="1418" w:type="dxa"/>
          <w:vAlign w:val="center"/>
        </w:tcPr>
        <w:p w:rsidR="00AA0700" w:rsidRPr="000950A1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proofErr w:type="spellStart"/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>Doküman</w:t>
          </w:r>
          <w:proofErr w:type="spellEnd"/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992" w:type="dxa"/>
          <w:vAlign w:val="center"/>
        </w:tcPr>
        <w:p w:rsidR="00AA0700" w:rsidRPr="000950A1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SD.01</w:t>
          </w:r>
        </w:p>
      </w:tc>
    </w:tr>
    <w:tr w:rsidR="00AA0700" w:rsidRPr="00DD68C5" w:rsidTr="00EF1A32">
      <w:trPr>
        <w:trHeight w:val="272"/>
      </w:trPr>
      <w:tc>
        <w:tcPr>
          <w:tcW w:w="2076" w:type="dxa"/>
          <w:vMerge/>
          <w:vAlign w:val="center"/>
        </w:tcPr>
        <w:p w:rsidR="00AA0700" w:rsidRPr="00BF2A1D" w:rsidRDefault="00AA0700" w:rsidP="00054B2B">
          <w:pPr>
            <w:jc w:val="center"/>
            <w:rPr>
              <w:rFonts w:ascii="Bookman Old Style" w:hAnsi="Bookman Old Style" w:cs="Tahoma"/>
              <w:b/>
              <w:color w:val="0000FF"/>
              <w:position w:val="12"/>
              <w:sz w:val="22"/>
            </w:rPr>
          </w:pPr>
        </w:p>
      </w:tc>
      <w:tc>
        <w:tcPr>
          <w:tcW w:w="5365" w:type="dxa"/>
          <w:vMerge/>
          <w:vAlign w:val="center"/>
        </w:tcPr>
        <w:p w:rsidR="00AA0700" w:rsidRPr="00E607D2" w:rsidRDefault="00AA0700" w:rsidP="00054B2B">
          <w:pPr>
            <w:jc w:val="center"/>
            <w:rPr>
              <w:rFonts w:cs="Arial"/>
              <w:color w:val="000000"/>
            </w:rPr>
          </w:pPr>
        </w:p>
      </w:tc>
      <w:tc>
        <w:tcPr>
          <w:tcW w:w="1418" w:type="dxa"/>
          <w:vAlign w:val="center"/>
        </w:tcPr>
        <w:p w:rsidR="00AA0700" w:rsidRPr="000950A1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proofErr w:type="spellStart"/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>YayınTarihi</w:t>
          </w:r>
          <w:proofErr w:type="spellEnd"/>
        </w:p>
      </w:tc>
      <w:tc>
        <w:tcPr>
          <w:tcW w:w="992" w:type="dxa"/>
          <w:vAlign w:val="center"/>
        </w:tcPr>
        <w:p w:rsidR="00AA0700" w:rsidRPr="00056C32" w:rsidRDefault="00AA0700" w:rsidP="00056C32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10</w:t>
          </w:r>
          <w:r w:rsidRPr="00056C32">
            <w:rPr>
              <w:rFonts w:ascii="Arial" w:hAnsi="Arial" w:cs="Arial"/>
              <w:b/>
              <w:color w:val="000000"/>
              <w:sz w:val="16"/>
              <w:szCs w:val="16"/>
            </w:rPr>
            <w:t>.</w:t>
          </w:r>
          <w:r>
            <w:rPr>
              <w:rFonts w:ascii="Arial" w:hAnsi="Arial" w:cs="Arial"/>
              <w:b/>
              <w:color w:val="000000"/>
              <w:sz w:val="16"/>
              <w:szCs w:val="16"/>
            </w:rPr>
            <w:t>12</w:t>
          </w:r>
          <w:r w:rsidRPr="00056C32">
            <w:rPr>
              <w:rFonts w:ascii="Arial" w:hAnsi="Arial" w:cs="Arial"/>
              <w:b/>
              <w:color w:val="000000"/>
              <w:sz w:val="16"/>
              <w:szCs w:val="16"/>
            </w:rPr>
            <w:t>.2021</w:t>
          </w:r>
        </w:p>
      </w:tc>
    </w:tr>
    <w:tr w:rsidR="00AA0700" w:rsidRPr="00DD68C5" w:rsidTr="00EF1A32">
      <w:trPr>
        <w:trHeight w:val="290"/>
      </w:trPr>
      <w:tc>
        <w:tcPr>
          <w:tcW w:w="2076" w:type="dxa"/>
          <w:vMerge/>
          <w:vAlign w:val="center"/>
        </w:tcPr>
        <w:p w:rsidR="00AA0700" w:rsidRPr="00BF2A1D" w:rsidRDefault="00AA0700" w:rsidP="00054B2B">
          <w:pPr>
            <w:jc w:val="center"/>
            <w:rPr>
              <w:rFonts w:ascii="Bookman Old Style" w:hAnsi="Bookman Old Style" w:cs="Tahoma"/>
              <w:b/>
              <w:color w:val="0000FF"/>
              <w:position w:val="12"/>
              <w:sz w:val="22"/>
            </w:rPr>
          </w:pPr>
        </w:p>
      </w:tc>
      <w:tc>
        <w:tcPr>
          <w:tcW w:w="5365" w:type="dxa"/>
          <w:vMerge/>
          <w:vAlign w:val="center"/>
        </w:tcPr>
        <w:p w:rsidR="00AA0700" w:rsidRPr="00E607D2" w:rsidRDefault="00AA0700" w:rsidP="00054B2B">
          <w:pPr>
            <w:jc w:val="center"/>
            <w:rPr>
              <w:rFonts w:cs="Arial"/>
              <w:color w:val="000000"/>
            </w:rPr>
          </w:pPr>
        </w:p>
      </w:tc>
      <w:tc>
        <w:tcPr>
          <w:tcW w:w="1418" w:type="dxa"/>
          <w:vAlign w:val="center"/>
        </w:tcPr>
        <w:p w:rsidR="00AA0700" w:rsidRPr="000950A1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proofErr w:type="spellStart"/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>Rev.No</w:t>
          </w:r>
          <w:proofErr w:type="spellEnd"/>
        </w:p>
      </w:tc>
      <w:tc>
        <w:tcPr>
          <w:tcW w:w="992" w:type="dxa"/>
          <w:vAlign w:val="center"/>
        </w:tcPr>
        <w:p w:rsidR="00AA0700" w:rsidRPr="00056C32" w:rsidRDefault="00AA0700" w:rsidP="00056C32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056C32">
            <w:rPr>
              <w:rFonts w:ascii="Arial" w:hAnsi="Arial" w:cs="Arial"/>
              <w:b/>
              <w:color w:val="000000"/>
              <w:sz w:val="16"/>
              <w:szCs w:val="16"/>
            </w:rPr>
            <w:t>0</w:t>
          </w:r>
          <w:r>
            <w:rPr>
              <w:rFonts w:ascii="Arial" w:hAnsi="Arial" w:cs="Arial"/>
              <w:b/>
              <w:color w:val="000000"/>
              <w:sz w:val="16"/>
              <w:szCs w:val="16"/>
            </w:rPr>
            <w:t>4</w:t>
          </w:r>
        </w:p>
      </w:tc>
    </w:tr>
    <w:tr w:rsidR="00AA0700" w:rsidRPr="00DD68C5" w:rsidTr="00EF1A32">
      <w:trPr>
        <w:trHeight w:val="266"/>
      </w:trPr>
      <w:tc>
        <w:tcPr>
          <w:tcW w:w="2076" w:type="dxa"/>
          <w:vMerge/>
          <w:vAlign w:val="center"/>
        </w:tcPr>
        <w:p w:rsidR="00AA0700" w:rsidRPr="00BF2A1D" w:rsidRDefault="00AA0700" w:rsidP="00054B2B">
          <w:pPr>
            <w:jc w:val="center"/>
            <w:rPr>
              <w:rFonts w:ascii="Bookman Old Style" w:hAnsi="Bookman Old Style" w:cs="Tahoma"/>
              <w:b/>
              <w:color w:val="0000FF"/>
              <w:position w:val="12"/>
              <w:sz w:val="22"/>
            </w:rPr>
          </w:pPr>
        </w:p>
      </w:tc>
      <w:tc>
        <w:tcPr>
          <w:tcW w:w="5365" w:type="dxa"/>
          <w:vMerge/>
          <w:vAlign w:val="center"/>
        </w:tcPr>
        <w:p w:rsidR="00AA0700" w:rsidRPr="00E607D2" w:rsidRDefault="00AA0700" w:rsidP="00054B2B">
          <w:pPr>
            <w:jc w:val="center"/>
            <w:rPr>
              <w:rFonts w:cs="Arial"/>
              <w:color w:val="000000"/>
            </w:rPr>
          </w:pPr>
        </w:p>
      </w:tc>
      <w:tc>
        <w:tcPr>
          <w:tcW w:w="1418" w:type="dxa"/>
          <w:vAlign w:val="center"/>
        </w:tcPr>
        <w:p w:rsidR="00AA0700" w:rsidRPr="000950A1" w:rsidRDefault="00AA0700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proofErr w:type="spellStart"/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>Sayfa</w:t>
          </w:r>
          <w:proofErr w:type="spellEnd"/>
        </w:p>
      </w:tc>
      <w:tc>
        <w:tcPr>
          <w:tcW w:w="992" w:type="dxa"/>
          <w:vAlign w:val="center"/>
        </w:tcPr>
        <w:p w:rsidR="00AA0700" w:rsidRPr="000950A1" w:rsidRDefault="00D72E8F" w:rsidP="00054B2B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begin"/>
          </w:r>
          <w:r w:rsidR="00AA0700" w:rsidRPr="000950A1">
            <w:rPr>
              <w:rFonts w:ascii="Arial" w:hAnsi="Arial" w:cs="Arial"/>
              <w:b/>
              <w:color w:val="000000"/>
              <w:sz w:val="16"/>
              <w:szCs w:val="16"/>
            </w:rPr>
            <w:instrText xml:space="preserve"> PAGE </w:instrText>
          </w:r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separate"/>
          </w:r>
          <w:r w:rsidR="00E473DD"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t>1</w:t>
          </w:r>
          <w:r w:rsidRPr="000950A1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end"/>
          </w:r>
          <w:r w:rsidR="00AA0700" w:rsidRPr="000950A1">
            <w:rPr>
              <w:rFonts w:ascii="Arial" w:hAnsi="Arial" w:cs="Arial"/>
              <w:b/>
              <w:color w:val="000000"/>
              <w:sz w:val="16"/>
              <w:szCs w:val="16"/>
            </w:rPr>
            <w:t>/</w:t>
          </w:r>
          <w:r w:rsidR="00813979">
            <w:rPr>
              <w:rFonts w:ascii="Arial" w:hAnsi="Arial" w:cs="Arial"/>
              <w:b/>
              <w:color w:val="000000"/>
              <w:sz w:val="16"/>
              <w:szCs w:val="16"/>
            </w:rPr>
            <w:t>2</w:t>
          </w:r>
        </w:p>
      </w:tc>
    </w:tr>
  </w:tbl>
  <w:p w:rsidR="00AA0700" w:rsidRDefault="00AA0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3DD" w:rsidRDefault="00E47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085"/>
    <w:multiLevelType w:val="hybridMultilevel"/>
    <w:tmpl w:val="B26C81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078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07"/>
    <w:rsid w:val="00054B2B"/>
    <w:rsid w:val="00055968"/>
    <w:rsid w:val="00056C32"/>
    <w:rsid w:val="000A18C8"/>
    <w:rsid w:val="000B219A"/>
    <w:rsid w:val="000D7572"/>
    <w:rsid w:val="00104C0A"/>
    <w:rsid w:val="0013748A"/>
    <w:rsid w:val="00143C5E"/>
    <w:rsid w:val="00154BAF"/>
    <w:rsid w:val="00164CD3"/>
    <w:rsid w:val="00172D26"/>
    <w:rsid w:val="001753D8"/>
    <w:rsid w:val="001B0B92"/>
    <w:rsid w:val="001F3B9F"/>
    <w:rsid w:val="00233A96"/>
    <w:rsid w:val="00233BFE"/>
    <w:rsid w:val="002419DD"/>
    <w:rsid w:val="002854EE"/>
    <w:rsid w:val="00287357"/>
    <w:rsid w:val="002D3A82"/>
    <w:rsid w:val="002F338C"/>
    <w:rsid w:val="003938DD"/>
    <w:rsid w:val="00393C53"/>
    <w:rsid w:val="003E3CAA"/>
    <w:rsid w:val="004033B9"/>
    <w:rsid w:val="00420130"/>
    <w:rsid w:val="0048484F"/>
    <w:rsid w:val="00495507"/>
    <w:rsid w:val="004E34B7"/>
    <w:rsid w:val="004F0C3A"/>
    <w:rsid w:val="00501687"/>
    <w:rsid w:val="005201B9"/>
    <w:rsid w:val="0067686A"/>
    <w:rsid w:val="006972B7"/>
    <w:rsid w:val="006F06FA"/>
    <w:rsid w:val="0070637F"/>
    <w:rsid w:val="007266CC"/>
    <w:rsid w:val="00770C09"/>
    <w:rsid w:val="007C2BF0"/>
    <w:rsid w:val="007C787A"/>
    <w:rsid w:val="007F0313"/>
    <w:rsid w:val="007F49A3"/>
    <w:rsid w:val="007F7C23"/>
    <w:rsid w:val="00802798"/>
    <w:rsid w:val="00813979"/>
    <w:rsid w:val="008760FC"/>
    <w:rsid w:val="0087773B"/>
    <w:rsid w:val="00896F87"/>
    <w:rsid w:val="008A613D"/>
    <w:rsid w:val="008C2A26"/>
    <w:rsid w:val="008D3293"/>
    <w:rsid w:val="008D754E"/>
    <w:rsid w:val="009173B9"/>
    <w:rsid w:val="00941A7B"/>
    <w:rsid w:val="0095121D"/>
    <w:rsid w:val="00951C81"/>
    <w:rsid w:val="00964DE9"/>
    <w:rsid w:val="00966374"/>
    <w:rsid w:val="00996C6E"/>
    <w:rsid w:val="009E47BD"/>
    <w:rsid w:val="009F67B1"/>
    <w:rsid w:val="00A33AA5"/>
    <w:rsid w:val="00A75FD5"/>
    <w:rsid w:val="00A95CF0"/>
    <w:rsid w:val="00AA0700"/>
    <w:rsid w:val="00AA20C1"/>
    <w:rsid w:val="00AD30F2"/>
    <w:rsid w:val="00B0616D"/>
    <w:rsid w:val="00BB086E"/>
    <w:rsid w:val="00C25540"/>
    <w:rsid w:val="00C353DC"/>
    <w:rsid w:val="00C65E3C"/>
    <w:rsid w:val="00CC0EE8"/>
    <w:rsid w:val="00D72E8F"/>
    <w:rsid w:val="00D75EA6"/>
    <w:rsid w:val="00D87B7A"/>
    <w:rsid w:val="00D920A8"/>
    <w:rsid w:val="00DA3018"/>
    <w:rsid w:val="00DB3229"/>
    <w:rsid w:val="00E0115E"/>
    <w:rsid w:val="00E02F18"/>
    <w:rsid w:val="00E473DD"/>
    <w:rsid w:val="00E577DB"/>
    <w:rsid w:val="00E704D2"/>
    <w:rsid w:val="00E71AF3"/>
    <w:rsid w:val="00E833B1"/>
    <w:rsid w:val="00E92BCF"/>
    <w:rsid w:val="00E97A60"/>
    <w:rsid w:val="00EA6833"/>
    <w:rsid w:val="00EF1A32"/>
    <w:rsid w:val="00F40C1F"/>
    <w:rsid w:val="00FD322C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AAECE0"/>
  <w15:docId w15:val="{05752F16-2F37-4FB0-B24B-37C5461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EE"/>
    <w:rPr>
      <w:rFonts w:ascii="Tahoma" w:eastAsia="Times New Roman" w:hAnsi="Tahoma" w:cs="Tahoma"/>
      <w:sz w:val="16"/>
      <w:szCs w:val="16"/>
      <w:lang w:val="en-US" w:eastAsia="tr-TR"/>
    </w:rPr>
  </w:style>
  <w:style w:type="paragraph" w:styleId="Header">
    <w:name w:val="header"/>
    <w:basedOn w:val="Normal"/>
    <w:link w:val="HeaderChar"/>
    <w:uiPriority w:val="99"/>
    <w:unhideWhenUsed/>
    <w:rsid w:val="00770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C09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Footer">
    <w:name w:val="footer"/>
    <w:basedOn w:val="Normal"/>
    <w:link w:val="FooterChar"/>
    <w:uiPriority w:val="99"/>
    <w:unhideWhenUsed/>
    <w:rsid w:val="00770C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09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odyText2">
    <w:name w:val="Body Text 2"/>
    <w:basedOn w:val="Normal"/>
    <w:link w:val="BodyText2Char"/>
    <w:rsid w:val="0067686A"/>
    <w:pPr>
      <w:jc w:val="both"/>
    </w:pPr>
    <w:rPr>
      <w:rFonts w:ascii="Arial" w:hAnsi="Arial"/>
      <w:b/>
      <w:sz w:val="22"/>
      <w:lang w:val="tr-TR"/>
    </w:rPr>
  </w:style>
  <w:style w:type="character" w:customStyle="1" w:styleId="BodyText2Char">
    <w:name w:val="Body Text 2 Char"/>
    <w:basedOn w:val="DefaultParagraphFont"/>
    <w:link w:val="BodyText2"/>
    <w:rsid w:val="0067686A"/>
    <w:rPr>
      <w:rFonts w:ascii="Arial" w:eastAsia="Times New Roman" w:hAnsi="Arial" w:cs="Times New Roman"/>
      <w:b/>
      <w:szCs w:val="20"/>
      <w:lang w:eastAsia="tr-T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2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2B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Body1">
    <w:name w:val="Body 1"/>
    <w:basedOn w:val="Normal"/>
    <w:rsid w:val="006972B7"/>
    <w:pPr>
      <w:widowControl w:val="0"/>
      <w:suppressAutoHyphens/>
      <w:spacing w:before="120" w:after="120"/>
      <w:ind w:left="720"/>
    </w:pPr>
    <w:rPr>
      <w:rFonts w:ascii="Helvetica" w:hAnsi="Helvetica"/>
      <w:sz w:val="24"/>
    </w:rPr>
  </w:style>
  <w:style w:type="character" w:styleId="Strong">
    <w:name w:val="Strong"/>
    <w:basedOn w:val="DefaultParagraphFont"/>
    <w:uiPriority w:val="22"/>
    <w:qFormat/>
    <w:rsid w:val="009E47BD"/>
    <w:rPr>
      <w:b/>
      <w:bCs/>
    </w:rPr>
  </w:style>
  <w:style w:type="paragraph" w:styleId="ListParagraph">
    <w:name w:val="List Paragraph"/>
    <w:basedOn w:val="Normal"/>
    <w:uiPriority w:val="34"/>
    <w:qFormat/>
    <w:rsid w:val="000D75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9A3"/>
    <w:rPr>
      <w:color w:val="028B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Erkul.Cokhizli</dc:creator>
  <cp:lastModifiedBy>Microsoft Office User</cp:lastModifiedBy>
  <cp:revision>3</cp:revision>
  <cp:lastPrinted>2019-03-27T11:39:00Z</cp:lastPrinted>
  <dcterms:created xsi:type="dcterms:W3CDTF">2022-09-15T07:16:00Z</dcterms:created>
  <dcterms:modified xsi:type="dcterms:W3CDTF">2022-09-15T07:31:00Z</dcterms:modified>
</cp:coreProperties>
</file>